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105756">
      <w:pPr>
        <w:widowControl w:val="0"/>
        <w:ind w:left="0" w:leftChars="0" w:firstLine="0" w:firstLineChars="0"/>
        <w:jc w:val="both"/>
        <w:rPr>
          <w:rFonts w:hint="eastAsia" w:ascii="仿宋_GB2312" w:hAnsi="TimesNewRoman" w:eastAsia="仿宋_GB2312" w:cs="仿宋-WinCharSetFFFF-H"/>
          <w:b w:val="0"/>
          <w:bCs w:val="0"/>
          <w:color w:val="auto"/>
          <w:kern w:val="0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_GB2312" w:hAnsi="TimesNewRoman" w:eastAsia="仿宋_GB2312" w:cs="仿宋-WinCharSetFFFF-H"/>
          <w:b w:val="0"/>
          <w:bCs w:val="0"/>
          <w:color w:val="auto"/>
          <w:kern w:val="0"/>
          <w:sz w:val="30"/>
          <w:szCs w:val="30"/>
          <w:highlight w:val="none"/>
          <w:lang w:val="en-US" w:eastAsia="zh-CN" w:bidi="ar-SA"/>
        </w:rPr>
        <w:t>附件2</w:t>
      </w:r>
    </w:p>
    <w:p w14:paraId="059DA0B8">
      <w:pPr>
        <w:shd w:val="clear" w:color="auto" w:fill="FFFFFF"/>
        <w:spacing w:line="56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CN"/>
        </w:rPr>
        <w:t>海旅102招商合作评审表</w:t>
      </w:r>
    </w:p>
    <w:tbl>
      <w:tblPr>
        <w:tblStyle w:val="5"/>
        <w:tblW w:w="13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860"/>
        <w:gridCol w:w="1284"/>
        <w:gridCol w:w="4283"/>
        <w:gridCol w:w="725"/>
        <w:gridCol w:w="6103"/>
      </w:tblGrid>
      <w:tr w14:paraId="19009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374" w:hRule="atLeast"/>
          <w:jc w:val="center"/>
        </w:trPr>
        <w:tc>
          <w:tcPr>
            <w:tcW w:w="13923" w:type="dxa"/>
            <w:gridSpan w:val="6"/>
            <w:shd w:val="clear" w:color="auto" w:fill="auto"/>
            <w:vAlign w:val="center"/>
          </w:tcPr>
          <w:p w14:paraId="7EF51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40404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40404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评分细则（总分</w:t>
            </w:r>
            <w:r>
              <w:rPr>
                <w:rFonts w:ascii="Segoe UI" w:hAnsi="Segoe UI" w:eastAsia="Segoe UI" w:cs="Segoe UI"/>
                <w:b/>
                <w:bCs/>
                <w:color w:val="404040"/>
                <w:sz w:val="32"/>
                <w:szCs w:val="32"/>
                <w:highlight w:val="none"/>
                <w:u w:val="none"/>
                <w:lang w:val="en-US" w:eastAsia="zh-CN" w:bidi="ar"/>
              </w:rPr>
              <w:t>100</w:t>
            </w:r>
            <w:r>
              <w:rPr>
                <w:rFonts w:hint="eastAsia" w:ascii="宋体" w:hAnsi="宋体" w:eastAsia="宋体" w:cs="宋体"/>
                <w:b/>
                <w:bCs/>
                <w:color w:val="404040"/>
                <w:sz w:val="32"/>
                <w:szCs w:val="32"/>
                <w:highlight w:val="none"/>
                <w:u w:val="none"/>
                <w:lang w:val="en-US" w:eastAsia="zh-CN" w:bidi="ar"/>
              </w:rPr>
              <w:t>分）</w:t>
            </w:r>
          </w:p>
        </w:tc>
      </w:tr>
      <w:tr w14:paraId="5A3A4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8" w:type="dxa"/>
            <w:shd w:val="clear" w:color="auto" w:fill="auto"/>
            <w:vAlign w:val="center"/>
          </w:tcPr>
          <w:p w14:paraId="332BC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40404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40404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2144" w:type="dxa"/>
            <w:gridSpan w:val="2"/>
            <w:shd w:val="clear" w:color="auto" w:fill="auto"/>
            <w:vAlign w:val="center"/>
          </w:tcPr>
          <w:p w14:paraId="694BE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40404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40404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评分项目</w:t>
            </w:r>
          </w:p>
        </w:tc>
        <w:tc>
          <w:tcPr>
            <w:tcW w:w="4283" w:type="dxa"/>
            <w:shd w:val="clear" w:color="auto" w:fill="auto"/>
            <w:vAlign w:val="center"/>
          </w:tcPr>
          <w:p w14:paraId="252AE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40404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40404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评分内容</w:t>
            </w:r>
          </w:p>
        </w:tc>
        <w:tc>
          <w:tcPr>
            <w:tcW w:w="725" w:type="dxa"/>
            <w:shd w:val="clear" w:color="auto" w:fill="auto"/>
            <w:vAlign w:val="center"/>
          </w:tcPr>
          <w:p w14:paraId="3FF0F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40404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40404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分值</w:t>
            </w:r>
          </w:p>
        </w:tc>
        <w:tc>
          <w:tcPr>
            <w:tcW w:w="6103" w:type="dxa"/>
            <w:shd w:val="clear" w:color="auto" w:fill="auto"/>
            <w:vAlign w:val="center"/>
          </w:tcPr>
          <w:p w14:paraId="601D2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40404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40404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评分标准</w:t>
            </w:r>
          </w:p>
        </w:tc>
      </w:tr>
      <w:tr w14:paraId="569EF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668" w:type="dxa"/>
            <w:vMerge w:val="restart"/>
            <w:shd w:val="clear" w:color="auto" w:fill="auto"/>
            <w:vAlign w:val="center"/>
          </w:tcPr>
          <w:p w14:paraId="72966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60" w:type="dxa"/>
            <w:vMerge w:val="restart"/>
            <w:shd w:val="clear" w:color="auto" w:fill="auto"/>
            <w:vAlign w:val="center"/>
          </w:tcPr>
          <w:p w14:paraId="666F6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公司实力（60分）</w:t>
            </w:r>
          </w:p>
        </w:tc>
        <w:tc>
          <w:tcPr>
            <w:tcW w:w="1284" w:type="dxa"/>
            <w:vMerge w:val="restart"/>
            <w:shd w:val="clear" w:color="auto" w:fill="auto"/>
            <w:vAlign w:val="center"/>
          </w:tcPr>
          <w:p w14:paraId="72A6775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1.1企业规模</w:t>
            </w:r>
          </w:p>
        </w:tc>
        <w:tc>
          <w:tcPr>
            <w:tcW w:w="4283" w:type="dxa"/>
            <w:shd w:val="clear" w:color="auto" w:fill="auto"/>
            <w:vAlign w:val="center"/>
          </w:tcPr>
          <w:p w14:paraId="29198A4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（1）在海南本地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有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合法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的经营场所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（陆地）</w:t>
            </w:r>
          </w:p>
        </w:tc>
        <w:tc>
          <w:tcPr>
            <w:tcW w:w="725" w:type="dxa"/>
            <w:shd w:val="clear" w:color="auto" w:fill="auto"/>
            <w:vAlign w:val="center"/>
          </w:tcPr>
          <w:p w14:paraId="09229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5分</w:t>
            </w:r>
          </w:p>
        </w:tc>
        <w:tc>
          <w:tcPr>
            <w:tcW w:w="6103" w:type="dxa"/>
            <w:shd w:val="clear" w:color="auto" w:fill="auto"/>
            <w:vAlign w:val="center"/>
          </w:tcPr>
          <w:p w14:paraId="2D4B99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提供产权或租赁合同有效证明即得5分，无有效证明得0分。</w:t>
            </w:r>
          </w:p>
        </w:tc>
      </w:tr>
      <w:tr w14:paraId="63727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 w14:paraId="1EDC64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宋体" w:cs="Times New Roman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860" w:type="dxa"/>
            <w:vMerge w:val="continue"/>
            <w:shd w:val="clear" w:color="auto" w:fill="auto"/>
            <w:vAlign w:val="center"/>
          </w:tcPr>
          <w:p w14:paraId="091C17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宋体" w:cs="Times New Roman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1284" w:type="dxa"/>
            <w:vMerge w:val="continue"/>
            <w:shd w:val="clear" w:color="auto" w:fill="auto"/>
            <w:vAlign w:val="center"/>
          </w:tcPr>
          <w:p w14:paraId="16CE82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宋体" w:cs="Times New Roman"/>
                <w:b w:val="0"/>
                <w:bCs w:val="0"/>
                <w:sz w:val="21"/>
                <w:szCs w:val="21"/>
                <w:highlight w:val="none"/>
              </w:rPr>
            </w:pPr>
          </w:p>
        </w:tc>
        <w:tc>
          <w:tcPr>
            <w:tcW w:w="4283" w:type="dxa"/>
            <w:shd w:val="clear" w:color="auto" w:fill="auto"/>
            <w:vAlign w:val="center"/>
          </w:tcPr>
          <w:p w14:paraId="33929B9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eastAsia="宋体" w:cs="Times New Roman"/>
                <w:b w:val="0"/>
                <w:bCs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（2）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年营业收入</w:t>
            </w:r>
          </w:p>
        </w:tc>
        <w:tc>
          <w:tcPr>
            <w:tcW w:w="725" w:type="dxa"/>
            <w:shd w:val="clear" w:color="auto" w:fill="auto"/>
            <w:vAlign w:val="center"/>
          </w:tcPr>
          <w:p w14:paraId="54376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15分</w:t>
            </w:r>
          </w:p>
        </w:tc>
        <w:tc>
          <w:tcPr>
            <w:tcW w:w="6103" w:type="dxa"/>
            <w:shd w:val="clear" w:color="auto" w:fill="auto"/>
            <w:vAlign w:val="center"/>
          </w:tcPr>
          <w:p w14:paraId="2FCD50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优（15分）：年营业收入≥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00万元；</w:t>
            </w:r>
          </w:p>
          <w:p w14:paraId="5BFB60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良（10分）：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0万≤年营业收＜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00万元；</w:t>
            </w:r>
          </w:p>
          <w:p w14:paraId="6D7866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 w:cs="Times New Roman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中（5分）：</w:t>
            </w:r>
            <w:r>
              <w:rPr>
                <w:rFonts w:hint="eastAsia" w:eastAsia="宋体" w:cs="Times New Roman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营业收入＜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</w:t>
            </w:r>
            <w:r>
              <w:rPr>
                <w:rFonts w:hint="eastAsia" w:eastAsia="宋体" w:cs="Times New Roman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0万元。</w:t>
            </w:r>
          </w:p>
          <w:p w14:paraId="29EF46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="宋体" w:cs="Times New Roman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宋体" w:cs="Times New Roman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提供加盖公章的2024年财务报表。</w:t>
            </w:r>
          </w:p>
        </w:tc>
      </w:tr>
      <w:tr w14:paraId="0AF33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 w14:paraId="47021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60" w:type="dxa"/>
            <w:vMerge w:val="continue"/>
            <w:shd w:val="clear" w:color="auto" w:fill="auto"/>
            <w:vAlign w:val="center"/>
          </w:tcPr>
          <w:p w14:paraId="66ADB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84" w:type="dxa"/>
            <w:shd w:val="clear" w:color="auto" w:fill="auto"/>
            <w:vAlign w:val="center"/>
          </w:tcPr>
          <w:p w14:paraId="3D42C3F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1.2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运营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能力</w:t>
            </w:r>
          </w:p>
        </w:tc>
        <w:tc>
          <w:tcPr>
            <w:tcW w:w="4283" w:type="dxa"/>
            <w:shd w:val="clear" w:color="auto" w:fill="auto"/>
            <w:vAlign w:val="center"/>
          </w:tcPr>
          <w:p w14:paraId="04049C4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营销推广方案：包括但不限于客群定位、营销团队、营销推广计划等</w:t>
            </w:r>
          </w:p>
        </w:tc>
        <w:tc>
          <w:tcPr>
            <w:tcW w:w="725" w:type="dxa"/>
            <w:shd w:val="clear" w:color="auto" w:fill="auto"/>
            <w:vAlign w:val="center"/>
          </w:tcPr>
          <w:p w14:paraId="45BCE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15分</w:t>
            </w:r>
          </w:p>
        </w:tc>
        <w:tc>
          <w:tcPr>
            <w:tcW w:w="6103" w:type="dxa"/>
            <w:shd w:val="clear" w:color="auto" w:fill="auto"/>
            <w:vAlign w:val="center"/>
          </w:tcPr>
          <w:p w14:paraId="08A3A7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优（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-1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分）：方案合理、可行性强</w:t>
            </w:r>
          </w:p>
          <w:p w14:paraId="739209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良（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分）：方案合理但缺乏亮点</w:t>
            </w:r>
          </w:p>
          <w:p w14:paraId="0596A8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中（0-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分）：方案空洞或脱离实际</w:t>
            </w:r>
          </w:p>
        </w:tc>
      </w:tr>
      <w:tr w14:paraId="26252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 w14:paraId="1EF3924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60" w:type="dxa"/>
            <w:vMerge w:val="continue"/>
            <w:shd w:val="clear" w:color="auto" w:fill="auto"/>
            <w:vAlign w:val="center"/>
          </w:tcPr>
          <w:p w14:paraId="35AE357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84" w:type="dxa"/>
            <w:shd w:val="clear" w:color="auto" w:fill="auto"/>
            <w:vAlign w:val="center"/>
          </w:tcPr>
          <w:p w14:paraId="15F81A6F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1.3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引流能力</w:t>
            </w:r>
          </w:p>
        </w:tc>
        <w:tc>
          <w:tcPr>
            <w:tcW w:w="4283" w:type="dxa"/>
            <w:shd w:val="clear" w:color="auto" w:fill="auto"/>
            <w:vAlign w:val="center"/>
          </w:tcPr>
          <w:p w14:paraId="17BB4C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线上平台口碑评价（携程、美团、抖音、小红书等平台）</w:t>
            </w:r>
          </w:p>
        </w:tc>
        <w:tc>
          <w:tcPr>
            <w:tcW w:w="725" w:type="dxa"/>
            <w:shd w:val="clear" w:color="auto" w:fill="auto"/>
            <w:vAlign w:val="center"/>
          </w:tcPr>
          <w:p w14:paraId="4CB1571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分</w:t>
            </w:r>
          </w:p>
        </w:tc>
        <w:tc>
          <w:tcPr>
            <w:tcW w:w="6103" w:type="dxa"/>
            <w:shd w:val="clear" w:color="auto" w:fill="auto"/>
            <w:vAlign w:val="center"/>
          </w:tcPr>
          <w:p w14:paraId="72D5AD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优（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-1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分）：线上2个平台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平均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评分4.6以上</w:t>
            </w:r>
          </w:p>
          <w:p w14:paraId="3F5486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良（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分）：线上2个平台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平均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评分4.3以上</w:t>
            </w:r>
          </w:p>
          <w:p w14:paraId="1E155F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中（0-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分）：线上2个平台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平均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评分4.0以上</w:t>
            </w:r>
          </w:p>
          <w:p w14:paraId="5D53D7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提供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各平台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评分截图，未有2个线上平台评分4.0以上的不得分。</w:t>
            </w:r>
          </w:p>
        </w:tc>
      </w:tr>
      <w:tr w14:paraId="7E923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668" w:type="dxa"/>
            <w:vMerge w:val="continue"/>
            <w:shd w:val="clear" w:color="auto" w:fill="auto"/>
            <w:vAlign w:val="center"/>
          </w:tcPr>
          <w:p w14:paraId="3EB3B75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60" w:type="dxa"/>
            <w:vMerge w:val="continue"/>
            <w:shd w:val="clear" w:color="auto" w:fill="auto"/>
            <w:vAlign w:val="center"/>
          </w:tcPr>
          <w:p w14:paraId="5C96C66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84" w:type="dxa"/>
            <w:shd w:val="clear" w:color="auto" w:fill="auto"/>
            <w:vAlign w:val="center"/>
          </w:tcPr>
          <w:p w14:paraId="1F0225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1.4合作契合度</w:t>
            </w:r>
          </w:p>
        </w:tc>
        <w:tc>
          <w:tcPr>
            <w:tcW w:w="4283" w:type="dxa"/>
            <w:shd w:val="clear" w:color="auto" w:fill="auto"/>
            <w:vAlign w:val="center"/>
          </w:tcPr>
          <w:p w14:paraId="7E4DB65E">
            <w:pPr>
              <w:keepNext w:val="0"/>
              <w:keepLines w:val="0"/>
              <w:widowControl/>
              <w:numPr>
                <w:ilvl w:val="-1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经营的产品与趸船功能契合度</w:t>
            </w:r>
          </w:p>
        </w:tc>
        <w:tc>
          <w:tcPr>
            <w:tcW w:w="725" w:type="dxa"/>
            <w:shd w:val="clear" w:color="auto" w:fill="auto"/>
            <w:vAlign w:val="center"/>
          </w:tcPr>
          <w:p w14:paraId="4B004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10分</w:t>
            </w:r>
          </w:p>
        </w:tc>
        <w:tc>
          <w:tcPr>
            <w:tcW w:w="6103" w:type="dxa"/>
            <w:shd w:val="clear" w:color="auto" w:fill="auto"/>
            <w:vAlign w:val="center"/>
          </w:tcPr>
          <w:p w14:paraId="205498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优（10分）：可用趸船经营3个（含）以上产品；</w:t>
            </w:r>
          </w:p>
          <w:p w14:paraId="619FA3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良（7分）：可用趸船经营2个产品；</w:t>
            </w:r>
          </w:p>
          <w:p w14:paraId="036277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中（4分）：可用趸船经营1个产品。</w:t>
            </w:r>
          </w:p>
          <w:p w14:paraId="715C44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列出拟用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趸船经营的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旅游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产品。</w:t>
            </w:r>
          </w:p>
        </w:tc>
      </w:tr>
      <w:tr w14:paraId="65381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  <w:jc w:val="center"/>
        </w:trPr>
        <w:tc>
          <w:tcPr>
            <w:tcW w:w="668" w:type="dxa"/>
            <w:shd w:val="clear" w:color="auto" w:fill="auto"/>
            <w:vAlign w:val="center"/>
          </w:tcPr>
          <w:p w14:paraId="6F26C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5E159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报价评分（40分）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676ED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分成比例</w:t>
            </w:r>
          </w:p>
        </w:tc>
        <w:tc>
          <w:tcPr>
            <w:tcW w:w="4283" w:type="dxa"/>
            <w:shd w:val="clear" w:color="auto" w:fill="auto"/>
            <w:vAlign w:val="center"/>
          </w:tcPr>
          <w:p w14:paraId="3DB4D0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按照游客服务费分成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价格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从高到低依次排序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评分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。</w:t>
            </w:r>
          </w:p>
        </w:tc>
        <w:tc>
          <w:tcPr>
            <w:tcW w:w="725" w:type="dxa"/>
            <w:shd w:val="clear" w:color="auto" w:fill="auto"/>
            <w:vAlign w:val="center"/>
          </w:tcPr>
          <w:p w14:paraId="71F1E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40分</w:t>
            </w:r>
          </w:p>
        </w:tc>
        <w:tc>
          <w:tcPr>
            <w:tcW w:w="6103" w:type="dxa"/>
            <w:shd w:val="clear" w:color="auto" w:fill="auto"/>
            <w:vAlign w:val="center"/>
          </w:tcPr>
          <w:p w14:paraId="1BF5E9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最高报价得40分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，次高报价得30分，第三报价得20分，第四报价得10分。（取前四名，其余不得分），报价相同的得分相同。</w:t>
            </w:r>
          </w:p>
          <w:p w14:paraId="5AF839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C49B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3923" w:type="dxa"/>
            <w:gridSpan w:val="6"/>
            <w:shd w:val="clear" w:color="auto" w:fill="auto"/>
            <w:vAlign w:val="center"/>
          </w:tcPr>
          <w:p w14:paraId="42897567">
            <w:pP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取消招商资格的情形：未按照招商文件要求提供资质条件或资质条件没有满足要求的；所提供的资料造假。</w:t>
            </w:r>
          </w:p>
        </w:tc>
      </w:tr>
    </w:tbl>
    <w:p w14:paraId="2AC4260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1" w:lineRule="atLeast"/>
        <w:ind w:right="0"/>
        <w:jc w:val="both"/>
        <w:rPr>
          <w:rFonts w:hint="default" w:ascii="仿宋_GB2312" w:hAnsi="仿宋_GB2312" w:eastAsia="仿宋_GB2312" w:cs="仿宋_GB2312"/>
          <w:spacing w:val="4"/>
          <w:sz w:val="32"/>
          <w:szCs w:val="32"/>
          <w:lang w:val="en-US" w:eastAsia="zh-CN"/>
        </w:rPr>
        <w:sectPr>
          <w:pgSz w:w="16838" w:h="11906" w:orient="landscape"/>
          <w:pgMar w:top="1134" w:right="1440" w:bottom="1134" w:left="1440" w:header="851" w:footer="992" w:gutter="0"/>
          <w:pgNumType w:fmt="numberInDash"/>
          <w:cols w:space="425" w:num="1"/>
          <w:docGrid w:type="lines" w:linePitch="312" w:charSpace="0"/>
        </w:sectPr>
      </w:pPr>
      <w:bookmarkStart w:id="0" w:name="_GoBack"/>
      <w:bookmarkEnd w:id="0"/>
    </w:p>
    <w:p w14:paraId="5CB8D8EA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-WinCharSetFFFF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imesNew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